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DEF2" w14:textId="5E26EA6D" w:rsidR="001D3793" w:rsidRDefault="001D3793" w:rsidP="001D3793">
      <w:pPr>
        <w:shd w:val="clear" w:color="auto" w:fill="FFFFFF"/>
        <w:spacing w:after="0" w:line="240" w:lineRule="auto"/>
        <w:rPr>
          <w:rFonts w:ascii="Aptos" w:eastAsia="Times New Roman" w:hAnsi="Aptos" w:cs="Times New Roman"/>
          <w:b/>
          <w:bCs/>
          <w:color w:val="242424"/>
          <w:kern w:val="0"/>
          <w14:ligatures w14:val="none"/>
        </w:rPr>
      </w:pPr>
      <w:r w:rsidRPr="001D3793">
        <w:rPr>
          <w:rFonts w:ascii="Aptos" w:eastAsia="Times New Roman" w:hAnsi="Aptos" w:cs="Times New Roman"/>
          <w:b/>
          <w:bCs/>
          <w:color w:val="242424"/>
          <w:kern w:val="0"/>
          <w:bdr w:val="none" w:sz="0" w:space="0" w:color="auto" w:frame="1"/>
          <w14:ligatures w14:val="none"/>
        </w:rPr>
        <w:t>Wilkinson</w:t>
      </w:r>
      <w:r w:rsidRPr="001D3793">
        <w:rPr>
          <w:rFonts w:ascii="Aptos" w:eastAsia="Times New Roman" w:hAnsi="Aptos" w:cs="Times New Roman"/>
          <w:b/>
          <w:bCs/>
          <w:color w:val="242424"/>
          <w:kern w:val="0"/>
          <w14:ligatures w14:val="none"/>
        </w:rPr>
        <w:t> CCA</w:t>
      </w:r>
      <w:r>
        <w:rPr>
          <w:rFonts w:ascii="Aptos" w:eastAsia="Times New Roman" w:hAnsi="Aptos" w:cs="Times New Roman"/>
          <w:b/>
          <w:bCs/>
          <w:color w:val="242424"/>
          <w:kern w:val="0"/>
          <w14:ligatures w14:val="none"/>
        </w:rPr>
        <w:t>M</w:t>
      </w:r>
      <w:r w:rsidRPr="001D3793">
        <w:rPr>
          <w:rFonts w:ascii="Aptos" w:eastAsia="Times New Roman" w:hAnsi="Aptos" w:cs="Times New Roman"/>
          <w:b/>
          <w:bCs/>
          <w:color w:val="242424"/>
          <w:kern w:val="0"/>
          <w14:ligatures w14:val="none"/>
        </w:rPr>
        <w:t xml:space="preserve"> Course Enhancement </w:t>
      </w:r>
      <w:r>
        <w:rPr>
          <w:rFonts w:ascii="Aptos" w:eastAsia="Times New Roman" w:hAnsi="Aptos" w:cs="Times New Roman"/>
          <w:b/>
          <w:bCs/>
          <w:color w:val="242424"/>
          <w:kern w:val="0"/>
          <w14:ligatures w14:val="none"/>
        </w:rPr>
        <w:t>Award</w:t>
      </w:r>
    </w:p>
    <w:p w14:paraId="627D2A72" w14:textId="77777777" w:rsidR="001D3793" w:rsidRDefault="001D3793" w:rsidP="001D3793">
      <w:pPr>
        <w:shd w:val="clear" w:color="auto" w:fill="FFFFFF"/>
        <w:spacing w:after="0" w:line="240" w:lineRule="auto"/>
        <w:rPr>
          <w:rFonts w:ascii="Aptos" w:eastAsia="Times New Roman" w:hAnsi="Aptos" w:cs="Times New Roman"/>
          <w:b/>
          <w:bCs/>
          <w:color w:val="242424"/>
          <w:kern w:val="0"/>
          <w14:ligatures w14:val="none"/>
        </w:rPr>
      </w:pPr>
    </w:p>
    <w:p w14:paraId="3A75FD77" w14:textId="6DB5FDDE" w:rsidR="001D3793" w:rsidRDefault="001D3793" w:rsidP="001D3793">
      <w:pPr>
        <w:pStyle w:val="NormalWeb"/>
        <w:shd w:val="clear" w:color="auto" w:fill="FFFFFF"/>
        <w:spacing w:before="0" w:beforeAutospacing="0" w:after="0" w:afterAutospacing="0"/>
        <w:rPr>
          <w:rFonts w:ascii="Aptos" w:hAnsi="Aptos"/>
          <w:color w:val="242424"/>
        </w:rPr>
      </w:pPr>
      <w:r w:rsidRPr="001D3793">
        <w:rPr>
          <w:rFonts w:ascii="Aptos" w:hAnsi="Aptos"/>
          <w:b/>
          <w:bCs/>
          <w:color w:val="242424"/>
        </w:rPr>
        <w:t xml:space="preserve">This annual award provides $2,500 </w:t>
      </w:r>
      <w:r w:rsidRPr="001D3793">
        <w:rPr>
          <w:rFonts w:ascii="Aptos" w:hAnsi="Aptos"/>
          <w:b/>
          <w:bCs/>
          <w:color w:val="242424"/>
        </w:rPr>
        <w:t>to promote innovative instruction and course enhancement in the arts and media from a humanistic perspective. This will include cultivation of research and writing skills, information literacy capabilities, and critical engagement with source material within undergraduate and graduate courses devoted to the history of and education in art, design music, theatre, dance, and other disciplines within the College</w:t>
      </w:r>
      <w:r>
        <w:rPr>
          <w:rFonts w:ascii="Aptos" w:hAnsi="Aptos"/>
          <w:b/>
          <w:bCs/>
          <w:color w:val="242424"/>
        </w:rPr>
        <w:t>, and</w:t>
      </w:r>
      <w:r>
        <w:rPr>
          <w:rFonts w:ascii="Aptos" w:hAnsi="Aptos"/>
          <w:color w:val="242424"/>
        </w:rPr>
        <w:t> </w:t>
      </w:r>
      <w:r w:rsidRPr="001D3793">
        <w:rPr>
          <w:rFonts w:ascii="Aptos" w:hAnsi="Aptos"/>
          <w:b/>
          <w:bCs/>
          <w:color w:val="242424"/>
        </w:rPr>
        <w:t xml:space="preserve">the integration of the </w:t>
      </w:r>
      <w:proofErr w:type="gramStart"/>
      <w:r w:rsidRPr="001D3793">
        <w:rPr>
          <w:rFonts w:ascii="Aptos" w:hAnsi="Aptos"/>
          <w:b/>
          <w:bCs/>
          <w:color w:val="242424"/>
        </w:rPr>
        <w:t>aforementioned skills</w:t>
      </w:r>
      <w:proofErr w:type="gramEnd"/>
      <w:r w:rsidRPr="001D3793">
        <w:rPr>
          <w:rFonts w:ascii="Aptos" w:hAnsi="Aptos"/>
          <w:b/>
          <w:bCs/>
          <w:color w:val="242424"/>
        </w:rPr>
        <w:t xml:space="preserve"> into courses to promote excellence in research, critical thinking, and writing.</w:t>
      </w:r>
    </w:p>
    <w:p w14:paraId="5B89882F" w14:textId="77777777" w:rsidR="001D3793" w:rsidRDefault="001D3793" w:rsidP="001D3793">
      <w:pPr>
        <w:pStyle w:val="NormalWeb"/>
        <w:shd w:val="clear" w:color="auto" w:fill="FFFFFF"/>
        <w:spacing w:before="0" w:beforeAutospacing="0" w:after="0" w:afterAutospacing="0"/>
        <w:rPr>
          <w:rFonts w:ascii="Aptos" w:hAnsi="Aptos"/>
          <w:color w:val="242424"/>
        </w:rPr>
      </w:pPr>
      <w:r>
        <w:rPr>
          <w:rFonts w:ascii="Aptos" w:hAnsi="Aptos"/>
          <w:color w:val="242424"/>
        </w:rPr>
        <w:t> </w:t>
      </w:r>
    </w:p>
    <w:p w14:paraId="567DEA50" w14:textId="463A57A1" w:rsidR="001D3793" w:rsidRPr="001D3793" w:rsidRDefault="001D3793" w:rsidP="001D3793">
      <w:pPr>
        <w:shd w:val="clear" w:color="auto" w:fill="FFFFFF"/>
        <w:spacing w:after="0" w:line="240" w:lineRule="auto"/>
        <w:rPr>
          <w:rFonts w:ascii="Aptos" w:eastAsia="Times New Roman" w:hAnsi="Aptos" w:cs="Times New Roman"/>
          <w:b/>
          <w:bCs/>
          <w:color w:val="242424"/>
          <w:kern w:val="0"/>
          <w14:ligatures w14:val="none"/>
        </w:rPr>
      </w:pPr>
      <w:r w:rsidRPr="001D3793">
        <w:rPr>
          <w:rFonts w:ascii="Aptos" w:eastAsia="Times New Roman" w:hAnsi="Aptos" w:cs="Times New Roman"/>
          <w:b/>
          <w:bCs/>
          <w:color w:val="242424"/>
          <w:kern w:val="0"/>
          <w14:ligatures w14:val="none"/>
        </w:rPr>
        <w:t xml:space="preserve"> </w:t>
      </w:r>
      <w:r w:rsidRPr="001D3793">
        <w:rPr>
          <w:rFonts w:ascii="Aptos" w:eastAsia="Times New Roman" w:hAnsi="Aptos" w:cs="Times New Roman"/>
          <w:b/>
          <w:bCs/>
          <w:color w:val="242424"/>
          <w:kern w:val="0"/>
          <w14:ligatures w14:val="none"/>
        </w:rPr>
        <w:t>Application Deadline: Feb 1.</w:t>
      </w:r>
    </w:p>
    <w:p w14:paraId="44CB12B1" w14:textId="38382D19" w:rsidR="001D3793" w:rsidRPr="001D3793" w:rsidRDefault="001D3793" w:rsidP="001D3793">
      <w:pPr>
        <w:shd w:val="clear" w:color="auto" w:fill="FFFFFF"/>
        <w:spacing w:after="0" w:line="240" w:lineRule="auto"/>
        <w:rPr>
          <w:rFonts w:ascii="Aptos" w:eastAsia="Times New Roman" w:hAnsi="Aptos" w:cs="Times New Roman"/>
          <w:b/>
          <w:bCs/>
          <w:color w:val="242424"/>
          <w:kern w:val="0"/>
          <w14:ligatures w14:val="none"/>
        </w:rPr>
      </w:pPr>
      <w:r w:rsidRPr="001D3793">
        <w:rPr>
          <w:rFonts w:ascii="Aptos" w:eastAsia="Times New Roman" w:hAnsi="Aptos" w:cs="Times New Roman"/>
          <w:b/>
          <w:bCs/>
          <w:color w:val="242424"/>
          <w:kern w:val="0"/>
          <w14:ligatures w14:val="none"/>
        </w:rPr>
        <w:t>Application will open in January 2025</w:t>
      </w:r>
    </w:p>
    <w:p w14:paraId="3792E27E"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 </w:t>
      </w:r>
    </w:p>
    <w:p w14:paraId="1907D70A"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Eligibility</w:t>
      </w:r>
    </w:p>
    <w:p w14:paraId="5CD15740"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 xml:space="preserve">Eligible faculty must have earned the terminal degree in their discipline, i.e. </w:t>
      </w:r>
      <w:proofErr w:type="spellStart"/>
      <w:proofErr w:type="gramStart"/>
      <w:r w:rsidRPr="001D3793">
        <w:rPr>
          <w:rFonts w:ascii="Aptos" w:eastAsia="Times New Roman" w:hAnsi="Aptos" w:cs="Times New Roman"/>
          <w:color w:val="242424"/>
          <w:kern w:val="0"/>
          <w14:ligatures w14:val="none"/>
        </w:rPr>
        <w:t>Ph.D</w:t>
      </w:r>
      <w:proofErr w:type="spellEnd"/>
      <w:proofErr w:type="gramEnd"/>
      <w:r w:rsidRPr="001D3793">
        <w:rPr>
          <w:rFonts w:ascii="Aptos" w:eastAsia="Times New Roman" w:hAnsi="Aptos" w:cs="Times New Roman"/>
          <w:color w:val="242424"/>
          <w:kern w:val="0"/>
          <w14:ligatures w14:val="none"/>
        </w:rPr>
        <w:t>, D.M.A., or M.F.A. The sole exceptions are those who have earned an M.A. in Art, Design, Theatre, or Dance History, or Media. Faculty with a record of peer-reviewed scholarly publications and/or presentations in their disciplines and who are regularly engaged in the teaching of courses in their subject area from a humanistic perspective are welcome to apply.</w:t>
      </w:r>
    </w:p>
    <w:p w14:paraId="660D0A10"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 </w:t>
      </w:r>
    </w:p>
    <w:p w14:paraId="1D480386"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Eligible Initiatives</w:t>
      </w:r>
    </w:p>
    <w:p w14:paraId="6EBBDAE2" w14:textId="2C640583"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Faculty seeking to develop new courses or to revise current courses substantially to enhance students' development of skills in research, writing, information literacy, and/or critical engagement with one of the disciplines cited above are eligible for funding. Initiatives concerned with performance or creation of works of art are not eligible for support from this program. Proposals for the development or revision of collaboratively taught courses by faculty from two or more of the Schools within the College are also eligible. To ensure the greatest degree of student success, applicants are encouraged to reach out to on-campus experts outside their disciplines, including the University Libraries, the English Department/Writing Center, the Humanities Center, Instructional Technology Services, Health Sciences Center, and/or other experts in the disciplines which cultivate the skills cited above.</w:t>
      </w:r>
      <w:r>
        <w:rPr>
          <w:rFonts w:ascii="Aptos" w:eastAsia="Times New Roman" w:hAnsi="Aptos" w:cs="Times New Roman"/>
          <w:color w:val="242424"/>
          <w:kern w:val="0"/>
          <w14:ligatures w14:val="none"/>
        </w:rPr>
        <w:t xml:space="preserve"> </w:t>
      </w:r>
      <w:r w:rsidRPr="001D3793">
        <w:rPr>
          <w:rFonts w:ascii="Aptos" w:eastAsia="Times New Roman" w:hAnsi="Aptos" w:cs="Times New Roman"/>
          <w:color w:val="242424"/>
          <w:kern w:val="0"/>
          <w14:ligatures w14:val="none"/>
        </w:rPr>
        <w:t>Funds may be used to provide salary for the project period, honoraria to compensate outside experts, travel in support of the project, and/or acquisition of resources not otherwise available within the University. Any resources not consumed by the project will become the property of the University. All course materials developed during the project period will be made available to faculty colleagues within the College to promote further development of the skills listed above.</w:t>
      </w:r>
    </w:p>
    <w:p w14:paraId="37C8FA93"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 </w:t>
      </w:r>
    </w:p>
    <w:p w14:paraId="3441B797"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Application Process</w:t>
      </w:r>
    </w:p>
    <w:p w14:paraId="582CDBB1"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Applicants will prepare a statement not to exceed 2000 words in which they address the following topics: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2"/>
        <w:gridCol w:w="49"/>
        <w:gridCol w:w="9149"/>
      </w:tblGrid>
      <w:tr w:rsidR="001D3793" w:rsidRPr="001D3793" w14:paraId="771F95F9" w14:textId="77777777" w:rsidTr="001D3793">
        <w:trPr>
          <w:tblCellSpacing w:w="0" w:type="dxa"/>
        </w:trPr>
        <w:tc>
          <w:tcPr>
            <w:tcW w:w="0" w:type="auto"/>
            <w:shd w:val="clear" w:color="auto" w:fill="FFFFFF"/>
            <w:hideMark/>
          </w:tcPr>
          <w:p w14:paraId="4BF50C36"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w:t>
            </w:r>
          </w:p>
        </w:tc>
        <w:tc>
          <w:tcPr>
            <w:tcW w:w="0" w:type="auto"/>
            <w:shd w:val="clear" w:color="auto" w:fill="FFFFFF"/>
            <w:hideMark/>
          </w:tcPr>
          <w:p w14:paraId="12E25793"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c>
          <w:tcPr>
            <w:tcW w:w="0" w:type="auto"/>
            <w:shd w:val="clear" w:color="auto" w:fill="FFFFFF"/>
            <w:hideMark/>
          </w:tcPr>
          <w:p w14:paraId="104661B8"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A description of the course to be developed or revised and the justification for doing so.</w:t>
            </w:r>
          </w:p>
        </w:tc>
      </w:tr>
      <w:tr w:rsidR="001D3793" w:rsidRPr="001D3793" w14:paraId="32DC6791" w14:textId="77777777" w:rsidTr="001D3793">
        <w:trPr>
          <w:tblCellSpacing w:w="0" w:type="dxa"/>
        </w:trPr>
        <w:tc>
          <w:tcPr>
            <w:tcW w:w="0" w:type="auto"/>
            <w:shd w:val="clear" w:color="auto" w:fill="FFFFFF"/>
            <w:hideMark/>
          </w:tcPr>
          <w:p w14:paraId="11C97243"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w:t>
            </w:r>
          </w:p>
        </w:tc>
        <w:tc>
          <w:tcPr>
            <w:tcW w:w="0" w:type="auto"/>
            <w:shd w:val="clear" w:color="auto" w:fill="FFFFFF"/>
            <w:hideMark/>
          </w:tcPr>
          <w:p w14:paraId="7831311B"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c>
          <w:tcPr>
            <w:tcW w:w="0" w:type="auto"/>
            <w:shd w:val="clear" w:color="auto" w:fill="FFFFFF"/>
            <w:hideMark/>
          </w:tcPr>
          <w:p w14:paraId="1235BE90"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An outline of the plan by which course development/revision will be carried out along with a timetable for the completion of each step on the process.</w:t>
            </w:r>
          </w:p>
        </w:tc>
      </w:tr>
      <w:tr w:rsidR="001D3793" w:rsidRPr="001D3793" w14:paraId="2F2638E8" w14:textId="77777777" w:rsidTr="001D3793">
        <w:trPr>
          <w:tblCellSpacing w:w="0" w:type="dxa"/>
        </w:trPr>
        <w:tc>
          <w:tcPr>
            <w:tcW w:w="0" w:type="auto"/>
            <w:shd w:val="clear" w:color="auto" w:fill="FFFFFF"/>
            <w:hideMark/>
          </w:tcPr>
          <w:p w14:paraId="4C7DE391"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lastRenderedPageBreak/>
              <w:t> •</w:t>
            </w:r>
          </w:p>
        </w:tc>
        <w:tc>
          <w:tcPr>
            <w:tcW w:w="0" w:type="auto"/>
            <w:shd w:val="clear" w:color="auto" w:fill="FFFFFF"/>
            <w:hideMark/>
          </w:tcPr>
          <w:p w14:paraId="14900CDE"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c>
          <w:tcPr>
            <w:tcW w:w="0" w:type="auto"/>
            <w:shd w:val="clear" w:color="auto" w:fill="FFFFFF"/>
            <w:hideMark/>
          </w:tcPr>
          <w:p w14:paraId="3FDD7D8C" w14:textId="14342BEA"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Names of external experts if consultation is warranted for course enhancement</w:t>
            </w:r>
          </w:p>
        </w:tc>
      </w:tr>
      <w:tr w:rsidR="001D3793" w:rsidRPr="001D3793" w14:paraId="3109DB38" w14:textId="77777777" w:rsidTr="001D3793">
        <w:trPr>
          <w:tblCellSpacing w:w="0" w:type="dxa"/>
        </w:trPr>
        <w:tc>
          <w:tcPr>
            <w:tcW w:w="0" w:type="auto"/>
            <w:shd w:val="clear" w:color="auto" w:fill="FFFFFF"/>
            <w:hideMark/>
          </w:tcPr>
          <w:p w14:paraId="6861D5F9"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w:t>
            </w:r>
          </w:p>
        </w:tc>
        <w:tc>
          <w:tcPr>
            <w:tcW w:w="0" w:type="auto"/>
            <w:shd w:val="clear" w:color="auto" w:fill="FFFFFF"/>
            <w:hideMark/>
          </w:tcPr>
          <w:p w14:paraId="0C5AAC6B"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c>
          <w:tcPr>
            <w:tcW w:w="0" w:type="auto"/>
            <w:shd w:val="clear" w:color="auto" w:fill="FFFFFF"/>
            <w:hideMark/>
          </w:tcPr>
          <w:p w14:paraId="0D953B1F"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A comprehensive description of the learning outcomes to be expected of students successfully completing the new or revised course as well as a detailed description of the plan for assessing the efficacy of the new or revised course in enabling students to master those learning outcomes.</w:t>
            </w:r>
          </w:p>
        </w:tc>
      </w:tr>
      <w:tr w:rsidR="001D3793" w:rsidRPr="001D3793" w14:paraId="622826F0" w14:textId="77777777" w:rsidTr="001D3793">
        <w:trPr>
          <w:tblCellSpacing w:w="0" w:type="dxa"/>
        </w:trPr>
        <w:tc>
          <w:tcPr>
            <w:tcW w:w="0" w:type="auto"/>
            <w:shd w:val="clear" w:color="auto" w:fill="FFFFFF"/>
            <w:hideMark/>
          </w:tcPr>
          <w:p w14:paraId="622BCDB5"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w:t>
            </w:r>
          </w:p>
        </w:tc>
        <w:tc>
          <w:tcPr>
            <w:tcW w:w="0" w:type="auto"/>
            <w:shd w:val="clear" w:color="auto" w:fill="FFFFFF"/>
            <w:hideMark/>
          </w:tcPr>
          <w:p w14:paraId="457F74D7"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c>
          <w:tcPr>
            <w:tcW w:w="0" w:type="auto"/>
            <w:shd w:val="clear" w:color="auto" w:fill="FFFFFF"/>
            <w:hideMark/>
          </w:tcPr>
          <w:p w14:paraId="45B23F03" w14:textId="308561C3"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Applications will be due to the Dean's Office on February 1 of each year.</w:t>
            </w:r>
            <w:r>
              <w:rPr>
                <w:rFonts w:ascii="Aptos" w:eastAsia="Times New Roman" w:hAnsi="Aptos" w:cs="Segoe UI"/>
                <w:color w:val="000000"/>
                <w:kern w:val="0"/>
                <w:bdr w:val="none" w:sz="0" w:space="0" w:color="auto" w:frame="1"/>
                <w14:ligatures w14:val="none"/>
              </w:rPr>
              <w:t xml:space="preserve"> </w:t>
            </w:r>
            <w:proofErr w:type="gramStart"/>
            <w:r w:rsidRPr="001D3793">
              <w:rPr>
                <w:rFonts w:ascii="Aptos" w:eastAsia="Times New Roman" w:hAnsi="Aptos" w:cs="Segoe UI"/>
                <w:color w:val="000000"/>
                <w:kern w:val="0"/>
                <w:bdr w:val="none" w:sz="0" w:space="0" w:color="auto" w:frame="1"/>
                <w14:ligatures w14:val="none"/>
              </w:rPr>
              <w:t>Note</w:t>
            </w:r>
            <w:proofErr w:type="gramEnd"/>
            <w:r w:rsidRPr="001D3793">
              <w:rPr>
                <w:rFonts w:ascii="Aptos" w:eastAsia="Times New Roman" w:hAnsi="Aptos" w:cs="Segoe UI"/>
                <w:color w:val="000000"/>
                <w:kern w:val="0"/>
                <w:bdr w:val="none" w:sz="0" w:space="0" w:color="auto" w:frame="1"/>
                <w14:ligatures w14:val="none"/>
              </w:rPr>
              <w:t>, applicants must agree to offer the new or revised course on a regular schedule and to do so no fewer than three times during three successive academic years.</w:t>
            </w:r>
          </w:p>
        </w:tc>
      </w:tr>
    </w:tbl>
    <w:p w14:paraId="396A9EA7"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62"/>
        <w:gridCol w:w="49"/>
        <w:gridCol w:w="49"/>
      </w:tblGrid>
      <w:tr w:rsidR="001D3793" w:rsidRPr="001D3793" w14:paraId="28E532D7" w14:textId="77777777" w:rsidTr="001D3793">
        <w:trPr>
          <w:tblCellSpacing w:w="0" w:type="dxa"/>
        </w:trPr>
        <w:tc>
          <w:tcPr>
            <w:tcW w:w="0" w:type="auto"/>
            <w:shd w:val="clear" w:color="auto" w:fill="FFFFFF"/>
            <w:hideMark/>
          </w:tcPr>
          <w:p w14:paraId="4A5541DC"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Application Evaluation Protocol</w:t>
            </w:r>
          </w:p>
          <w:p w14:paraId="43CC82EB"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A Selection Committee appointed and chaired by the Dean of the College, or a designee, will evaluate and rank all proposals.  The Committee shall consist of three senior faculty members from as many disciplines within the College as well as the Dean or designee.  While serving on the Committee, no faculty member may apply for funds from this program.  After reviewing all submissions, the Committee shall meet to reach consensus as to the proposal to receive funding in a particular year.   The successful applicant may not apply for another grant from this initiative in the year following funding.  This is also to be the case in the instance wherein several colleagues apply in support of a collaborative teaching initiative.  Unsuccessful applicants may reapply in the following year.</w:t>
            </w:r>
          </w:p>
          <w:p w14:paraId="17C73DBA"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p w14:paraId="5197BF91"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Evaluation Criteria</w:t>
            </w:r>
          </w:p>
          <w:p w14:paraId="0A965E1C" w14:textId="77777777" w:rsidR="001D3793" w:rsidRDefault="001D3793" w:rsidP="001D3793">
            <w:pPr>
              <w:spacing w:after="0" w:line="240" w:lineRule="auto"/>
              <w:rPr>
                <w:rFonts w:ascii="Aptos" w:eastAsia="Times New Roman" w:hAnsi="Aptos" w:cs="Segoe UI"/>
                <w:color w:val="000000"/>
                <w:kern w:val="0"/>
                <w:bdr w:val="none" w:sz="0" w:space="0" w:color="auto" w:frame="1"/>
                <w14:ligatures w14:val="none"/>
              </w:rPr>
            </w:pPr>
            <w:r w:rsidRPr="001D3793">
              <w:rPr>
                <w:rFonts w:ascii="Aptos" w:eastAsia="Times New Roman" w:hAnsi="Aptos" w:cs="Segoe UI"/>
                <w:color w:val="000000"/>
                <w:kern w:val="0"/>
                <w:bdr w:val="none" w:sz="0" w:space="0" w:color="auto" w:frame="1"/>
                <w14:ligatures w14:val="none"/>
              </w:rPr>
              <w:t xml:space="preserve">Proposals that effectively address the purpose of this endowment in innovative ways are to be ranked based upon their completeness, quality, clarity, as well as persuasiveness.  Consideration should also be given to the probability of the applicant(s) successfully completing the project and teaching the revised or new course a minimum of three times over a three-year period.  If the Selection Committee determines that no application meets the proposal criteria, no award shall be given in that cycle. </w:t>
            </w:r>
          </w:p>
          <w:p w14:paraId="6621A378" w14:textId="77777777" w:rsidR="001D3793" w:rsidRDefault="001D3793" w:rsidP="001D3793">
            <w:pPr>
              <w:spacing w:after="0" w:line="240" w:lineRule="auto"/>
              <w:rPr>
                <w:rFonts w:ascii="Aptos" w:eastAsia="Times New Roman" w:hAnsi="Aptos" w:cs="Segoe UI"/>
                <w:color w:val="000000"/>
                <w:kern w:val="0"/>
                <w:bdr w:val="none" w:sz="0" w:space="0" w:color="auto" w:frame="1"/>
                <w14:ligatures w14:val="none"/>
              </w:rPr>
            </w:pPr>
          </w:p>
          <w:p w14:paraId="459D03F4" w14:textId="45A500EF"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Evaluation Protocol</w:t>
            </w:r>
          </w:p>
        </w:tc>
        <w:tc>
          <w:tcPr>
            <w:tcW w:w="0" w:type="auto"/>
            <w:shd w:val="clear" w:color="auto" w:fill="FFFFFF"/>
            <w:hideMark/>
          </w:tcPr>
          <w:p w14:paraId="33AD7F28"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c>
          <w:tcPr>
            <w:tcW w:w="0" w:type="auto"/>
            <w:shd w:val="clear" w:color="auto" w:fill="FFFFFF"/>
            <w:hideMark/>
          </w:tcPr>
          <w:p w14:paraId="21F4015E" w14:textId="77777777" w:rsidR="001D3793" w:rsidRPr="001D3793" w:rsidRDefault="001D3793" w:rsidP="001D3793">
            <w:pPr>
              <w:spacing w:after="0" w:line="240" w:lineRule="auto"/>
              <w:rPr>
                <w:rFonts w:ascii="Aptos" w:eastAsia="Times New Roman" w:hAnsi="Aptos" w:cs="Segoe UI"/>
                <w:color w:val="242424"/>
                <w:kern w:val="0"/>
                <w14:ligatures w14:val="none"/>
              </w:rPr>
            </w:pPr>
            <w:r w:rsidRPr="001D3793">
              <w:rPr>
                <w:rFonts w:ascii="Aptos" w:eastAsia="Times New Roman" w:hAnsi="Aptos" w:cs="Segoe UI"/>
                <w:color w:val="000000"/>
                <w:kern w:val="0"/>
                <w:bdr w:val="none" w:sz="0" w:space="0" w:color="auto" w:frame="1"/>
                <w14:ligatures w14:val="none"/>
              </w:rPr>
              <w:t> </w:t>
            </w:r>
          </w:p>
        </w:tc>
      </w:tr>
    </w:tbl>
    <w:p w14:paraId="7BDC24B7" w14:textId="77777777" w:rsidR="001D3793" w:rsidRPr="001D3793" w:rsidRDefault="001D3793" w:rsidP="001D3793">
      <w:pPr>
        <w:shd w:val="clear" w:color="auto" w:fill="FFFFFF"/>
        <w:spacing w:after="0" w:line="240" w:lineRule="auto"/>
        <w:rPr>
          <w:rFonts w:ascii="Aptos" w:eastAsia="Times New Roman" w:hAnsi="Aptos" w:cs="Times New Roman"/>
          <w:color w:val="242424"/>
          <w:kern w:val="0"/>
          <w14:ligatures w14:val="none"/>
        </w:rPr>
      </w:pPr>
      <w:r w:rsidRPr="001D3793">
        <w:rPr>
          <w:rFonts w:ascii="Aptos" w:eastAsia="Times New Roman" w:hAnsi="Aptos" w:cs="Times New Roman"/>
          <w:color w:val="242424"/>
          <w:kern w:val="0"/>
          <w14:ligatures w14:val="none"/>
        </w:rPr>
        <w:t>A Selection Committee appointed and chaired by the Dean of the College, or a designee, will evaluate and rank all proposals. The Committee shall consist of three senior faculty members from as many disciplines within the College as well as the Dean or designee. While serving on the Committee, no faculty member may apply for funds from this program.</w:t>
      </w:r>
    </w:p>
    <w:p w14:paraId="35F555DF" w14:textId="77777777" w:rsidR="001D3793" w:rsidRDefault="001D3793"/>
    <w:sectPr w:rsidR="001D3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93"/>
    <w:rsid w:val="001D3793"/>
    <w:rsid w:val="00A5085B"/>
    <w:rsid w:val="00D7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56EF6"/>
  <w15:chartTrackingRefBased/>
  <w15:docId w15:val="{AF62CE9F-3363-FF45-A10F-1E014F65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793"/>
    <w:rPr>
      <w:rFonts w:eastAsiaTheme="majorEastAsia" w:cstheme="majorBidi"/>
      <w:color w:val="272727" w:themeColor="text1" w:themeTint="D8"/>
    </w:rPr>
  </w:style>
  <w:style w:type="paragraph" w:styleId="Title">
    <w:name w:val="Title"/>
    <w:basedOn w:val="Normal"/>
    <w:next w:val="Normal"/>
    <w:link w:val="TitleChar"/>
    <w:uiPriority w:val="10"/>
    <w:qFormat/>
    <w:rsid w:val="001D3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793"/>
    <w:pPr>
      <w:spacing w:before="160"/>
      <w:jc w:val="center"/>
    </w:pPr>
    <w:rPr>
      <w:i/>
      <w:iCs/>
      <w:color w:val="404040" w:themeColor="text1" w:themeTint="BF"/>
    </w:rPr>
  </w:style>
  <w:style w:type="character" w:customStyle="1" w:styleId="QuoteChar">
    <w:name w:val="Quote Char"/>
    <w:basedOn w:val="DefaultParagraphFont"/>
    <w:link w:val="Quote"/>
    <w:uiPriority w:val="29"/>
    <w:rsid w:val="001D3793"/>
    <w:rPr>
      <w:i/>
      <w:iCs/>
      <w:color w:val="404040" w:themeColor="text1" w:themeTint="BF"/>
    </w:rPr>
  </w:style>
  <w:style w:type="paragraph" w:styleId="ListParagraph">
    <w:name w:val="List Paragraph"/>
    <w:basedOn w:val="Normal"/>
    <w:uiPriority w:val="34"/>
    <w:qFormat/>
    <w:rsid w:val="001D3793"/>
    <w:pPr>
      <w:ind w:left="720"/>
      <w:contextualSpacing/>
    </w:pPr>
  </w:style>
  <w:style w:type="character" w:styleId="IntenseEmphasis">
    <w:name w:val="Intense Emphasis"/>
    <w:basedOn w:val="DefaultParagraphFont"/>
    <w:uiPriority w:val="21"/>
    <w:qFormat/>
    <w:rsid w:val="001D3793"/>
    <w:rPr>
      <w:i/>
      <w:iCs/>
      <w:color w:val="0F4761" w:themeColor="accent1" w:themeShade="BF"/>
    </w:rPr>
  </w:style>
  <w:style w:type="paragraph" w:styleId="IntenseQuote">
    <w:name w:val="Intense Quote"/>
    <w:basedOn w:val="Normal"/>
    <w:next w:val="Normal"/>
    <w:link w:val="IntenseQuoteChar"/>
    <w:uiPriority w:val="30"/>
    <w:qFormat/>
    <w:rsid w:val="001D3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793"/>
    <w:rPr>
      <w:i/>
      <w:iCs/>
      <w:color w:val="0F4761" w:themeColor="accent1" w:themeShade="BF"/>
    </w:rPr>
  </w:style>
  <w:style w:type="character" w:styleId="IntenseReference">
    <w:name w:val="Intense Reference"/>
    <w:basedOn w:val="DefaultParagraphFont"/>
    <w:uiPriority w:val="32"/>
    <w:qFormat/>
    <w:rsid w:val="001D3793"/>
    <w:rPr>
      <w:b/>
      <w:bCs/>
      <w:smallCaps/>
      <w:color w:val="0F4761" w:themeColor="accent1" w:themeShade="BF"/>
      <w:spacing w:val="5"/>
    </w:rPr>
  </w:style>
  <w:style w:type="paragraph" w:styleId="NormalWeb">
    <w:name w:val="Normal (Web)"/>
    <w:basedOn w:val="Normal"/>
    <w:uiPriority w:val="99"/>
    <w:semiHidden/>
    <w:unhideWhenUsed/>
    <w:rsid w:val="001D379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rktv9uuny7o">
    <w:name w:val="marktv9uuny7o"/>
    <w:basedOn w:val="DefaultParagraphFont"/>
    <w:rsid w:val="001D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9882">
      <w:bodyDiv w:val="1"/>
      <w:marLeft w:val="0"/>
      <w:marRight w:val="0"/>
      <w:marTop w:val="0"/>
      <w:marBottom w:val="0"/>
      <w:divBdr>
        <w:top w:val="none" w:sz="0" w:space="0" w:color="auto"/>
        <w:left w:val="none" w:sz="0" w:space="0" w:color="auto"/>
        <w:bottom w:val="none" w:sz="0" w:space="0" w:color="auto"/>
        <w:right w:val="none" w:sz="0" w:space="0" w:color="auto"/>
      </w:divBdr>
    </w:div>
    <w:div w:id="9029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Mikylah Myers</dc:creator>
  <cp:keywords/>
  <dc:description/>
  <cp:lastModifiedBy>Mikylah Myers</cp:lastModifiedBy>
  <cp:revision>1</cp:revision>
  <dcterms:created xsi:type="dcterms:W3CDTF">2024-12-17T19:06:00Z</dcterms:created>
  <dcterms:modified xsi:type="dcterms:W3CDTF">2024-12-17T19:17:00Z</dcterms:modified>
</cp:coreProperties>
</file>